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55F76549"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947C3A">
        <w:rPr>
          <w:rFonts w:ascii="Segoe UI" w:hAnsi="Segoe UI" w:cs="Segoe UI"/>
          <w:szCs w:val="22"/>
        </w:rPr>
        <w:t>Virtual Training through Webex</w:t>
      </w:r>
    </w:p>
    <w:p w14:paraId="710E6F9C" w14:textId="5C34D640"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947C3A">
        <w:rPr>
          <w:rFonts w:ascii="Segoe UI" w:hAnsi="Segoe UI" w:cs="Segoe UI"/>
          <w:szCs w:val="22"/>
        </w:rPr>
        <w:t>October 20-22, 2020</w:t>
      </w:r>
    </w:p>
    <w:p w14:paraId="51DCA6FC" w14:textId="4E3CEC92"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Tyler Powers</w:t>
      </w:r>
      <w:r w:rsidR="00DA1FC7" w:rsidRPr="00AA5A27">
        <w:rPr>
          <w:rFonts w:ascii="Segoe UI" w:hAnsi="Segoe UI" w:cs="Segoe UI"/>
          <w:szCs w:val="22"/>
        </w:rPr>
        <w:t xml:space="preserve">, </w:t>
      </w:r>
      <w:r w:rsidR="00AA5A27" w:rsidRPr="00AA5A27">
        <w:rPr>
          <w:rFonts w:ascii="Segoe UI" w:hAnsi="Segoe UI" w:cs="Segoe UI"/>
          <w:szCs w:val="22"/>
        </w:rPr>
        <w:t>Haley Adams</w:t>
      </w:r>
      <w:r w:rsidR="008344ED">
        <w:rPr>
          <w:rFonts w:ascii="Segoe UI" w:hAnsi="Segoe UI" w:cs="Segoe UI"/>
          <w:szCs w:val="22"/>
        </w:rPr>
        <w:t>, Andy Stoffels, Mark Phelan</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What are columns and how can a Physician Builder use columns to creatively display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SmartForm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rocedure SmartForms?</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some of the advanced SmartForm functions and how Physician Builders create custom procedure SmartForms.</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Embedding SmartForms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Print Groups Associated with SmartTools</w:t>
            </w:r>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Flowsheet Data in SmartLinks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Procedure SmartForms</w:t>
            </w:r>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Using Procedure SmartForms</w:t>
            </w:r>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Procedure SmartForms</w:t>
            </w:r>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SmartForm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Scripting a SmartForm</w:t>
            </w:r>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D4D0" w14:textId="4D538BC6"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947C3A">
      <w:rPr>
        <w:rStyle w:val="PageNumber"/>
        <w:rFonts w:ascii="Segoe UI" w:hAnsi="Segoe UI" w:cs="Segoe UI"/>
        <w:noProof/>
      </w:rPr>
      <w:t>2</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344ED"/>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47C3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B842-31BE-4653-8634-D8478D79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668</Words>
  <Characters>3996</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4655</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Jackie Taulbee</cp:lastModifiedBy>
  <cp:revision>3</cp:revision>
  <cp:lastPrinted>2017-08-04T15:20:00Z</cp:lastPrinted>
  <dcterms:created xsi:type="dcterms:W3CDTF">2020-09-30T15:50:00Z</dcterms:created>
  <dcterms:modified xsi:type="dcterms:W3CDTF">2020-10-16T14:03:00Z</dcterms:modified>
</cp:coreProperties>
</file>