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 xml:space="preserve">Training Room: </w:t>
      </w:r>
      <w:r w:rsidR="009E6B38">
        <w:t>TBD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A5715F" w:rsidRPr="00A5715F">
        <w:rPr>
          <w:highlight w:val="yellow"/>
        </w:rPr>
        <w:t>&lt;&lt;</w:t>
      </w:r>
      <w:r w:rsidR="009E6B38" w:rsidRPr="00A5715F">
        <w:rPr>
          <w:highlight w:val="yellow"/>
        </w:rPr>
        <w:t>Monday, July 24 through Wednesday, July 26, 2017</w:t>
      </w:r>
      <w:r w:rsidR="00A5715F" w:rsidRPr="00A5715F">
        <w:rPr>
          <w:highlight w:val="yellow"/>
        </w:rPr>
        <w:t>&gt;&gt;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A5715F" w:rsidRPr="00A5715F">
        <w:rPr>
          <w:highlight w:val="yellow"/>
        </w:rPr>
        <w:t>&lt;&lt;</w:t>
      </w:r>
      <w:r w:rsidR="00896D20" w:rsidRPr="00A5715F">
        <w:rPr>
          <w:highlight w:val="yellow"/>
        </w:rPr>
        <w:t>John Nelson</w:t>
      </w:r>
      <w:r w:rsidR="00DE64CB" w:rsidRPr="00A5715F">
        <w:rPr>
          <w:highlight w:val="yellow"/>
        </w:rPr>
        <w:t>,</w:t>
      </w:r>
      <w:r w:rsidR="00716689" w:rsidRPr="00A5715F">
        <w:rPr>
          <w:highlight w:val="yellow"/>
        </w:rPr>
        <w:t xml:space="preserve"> Andy </w:t>
      </w:r>
      <w:proofErr w:type="spellStart"/>
      <w:r w:rsidR="00716689" w:rsidRPr="00A5715F">
        <w:rPr>
          <w:highlight w:val="yellow"/>
        </w:rPr>
        <w:t>Stoffels</w:t>
      </w:r>
      <w:proofErr w:type="spellEnd"/>
      <w:r w:rsidR="009E6B38" w:rsidRPr="00A5715F">
        <w:rPr>
          <w:highlight w:val="yellow"/>
        </w:rPr>
        <w:t>, Mark Phelan</w:t>
      </w:r>
      <w:r w:rsidR="00A5715F" w:rsidRPr="00A5715F">
        <w:rPr>
          <w:highlight w:val="yellow"/>
        </w:rPr>
        <w:t>&gt;&gt;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</w:t>
      </w:r>
      <w:proofErr w:type="spellStart"/>
      <w:r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Pr="009D1934">
        <w:rPr>
          <w:sz w:val="24"/>
          <w:szCs w:val="24"/>
        </w:rPr>
        <w:t xml:space="preserve">, </w:t>
      </w:r>
      <w:proofErr w:type="spellStart"/>
      <w:r w:rsidRPr="009D1934">
        <w:rPr>
          <w:sz w:val="24"/>
          <w:szCs w:val="24"/>
        </w:rPr>
        <w:t>SmartPhrases</w:t>
      </w:r>
      <w:proofErr w:type="spellEnd"/>
      <w:r w:rsidRPr="009D1934">
        <w:rPr>
          <w:sz w:val="24"/>
          <w:szCs w:val="24"/>
        </w:rPr>
        <w:t xml:space="preserve">, </w:t>
      </w:r>
      <w:proofErr w:type="spellStart"/>
      <w:r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proofErr w:type="spellStart"/>
      <w:r w:rsidRPr="00E85F6E">
        <w:rPr>
          <w:sz w:val="24"/>
          <w:szCs w:val="24"/>
        </w:rPr>
        <w:t>SmartForms</w:t>
      </w:r>
      <w:proofErr w:type="spellEnd"/>
      <w:r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>Order Groups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</w:t>
      </w:r>
      <w:r w:rsidRPr="00D47E7A">
        <w:rPr>
          <w:sz w:val="24"/>
          <w:szCs w:val="24"/>
        </w:rPr>
        <w:lastRenderedPageBreak/>
        <w:t xml:space="preserve">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C145A2" w:rsidP="00B66CF0">
            <w:pPr>
              <w:pStyle w:val="ItemName"/>
            </w:pPr>
            <w:r>
              <w:t>9:45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SmartPhrases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C145A2" w:rsidP="00B53B90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:rsidR="00106D50" w:rsidRPr="00E40D58" w:rsidRDefault="00C145A2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 </w:t>
            </w: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Pr="000B3DE8" w:rsidRDefault="00C145A2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  <w:r w:rsidR="00E40D58">
              <w:rPr>
                <w:b/>
                <w:sz w:val="24"/>
                <w:szCs w:val="24"/>
              </w:rPr>
              <w:t>,</w:t>
            </w:r>
            <w:r w:rsidR="008A1713">
              <w:rPr>
                <w:b/>
                <w:sz w:val="24"/>
                <w:szCs w:val="24"/>
              </w:rPr>
              <w:t xml:space="preserve"> c</w:t>
            </w:r>
            <w:r w:rsidR="00DB3518" w:rsidRPr="000B3DE8">
              <w:rPr>
                <w:b/>
                <w:sz w:val="24"/>
                <w:szCs w:val="24"/>
              </w:rPr>
              <w:t>ontinued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C145A2" w:rsidP="008913D0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8913D0" w:rsidRPr="000B3DE8" w:rsidRDefault="00C145A2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  <w:p w:rsidR="00073CFF" w:rsidRPr="000B3DE8" w:rsidRDefault="00951CBE" w:rsidP="00DB351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Discrete Data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72793B" w:rsidRDefault="0072793B"/>
    <w:p w:rsidR="0072793B" w:rsidRDefault="0072793B">
      <w:r>
        <w:t>Credit Day 1 = 6.25</w:t>
      </w:r>
    </w:p>
    <w:p w:rsidR="0072793B" w:rsidRDefault="0072793B"/>
    <w:p w:rsidR="0072793B" w:rsidRDefault="0072793B">
      <w:r>
        <w:t>8:45-12:00 = 3.25</w:t>
      </w:r>
    </w:p>
    <w:p w:rsidR="0072793B" w:rsidRDefault="0072793B">
      <w:r>
        <w:t>1:00-4:30 = 3.5</w:t>
      </w:r>
    </w:p>
    <w:p w:rsidR="0072793B" w:rsidRDefault="0072793B">
      <w:r>
        <w:t>Subtotal = 6.75</w:t>
      </w:r>
    </w:p>
    <w:p w:rsidR="0072793B" w:rsidRDefault="0072793B">
      <w:r>
        <w:t>Subtract .5 (breaks)</w:t>
      </w:r>
    </w:p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>Based</w:t>
            </w:r>
            <w:r w:rsidR="00DB3518" w:rsidRPr="000B3DE8">
              <w:rPr>
                <w:sz w:val="24"/>
                <w:szCs w:val="24"/>
              </w:rPr>
              <w:t xml:space="preserve"> SmartText</w:t>
            </w:r>
          </w:p>
          <w:p w:rsidR="00D83A74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Rule-</w:t>
            </w:r>
            <w:r w:rsidR="00E40D58" w:rsidRPr="000B3DE8">
              <w:rPr>
                <w:sz w:val="24"/>
                <w:szCs w:val="24"/>
              </w:rPr>
              <w:t xml:space="preserve">Based </w:t>
            </w:r>
            <w:r w:rsidR="00DB3518" w:rsidRPr="000B3DE8">
              <w:rPr>
                <w:sz w:val="24"/>
                <w:szCs w:val="24"/>
              </w:rPr>
              <w:t>Links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72793B">
        <w:trPr>
          <w:cantSplit/>
        </w:trPr>
        <w:tc>
          <w:tcPr>
            <w:tcW w:w="1170" w:type="dxa"/>
          </w:tcPr>
          <w:p w:rsidR="00DA5415" w:rsidRPr="00DA5415" w:rsidRDefault="008913D0" w:rsidP="00DA5415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:rsidR="0072793B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  <w:p w:rsidR="0072793B" w:rsidRDefault="0072793B" w:rsidP="008913D0">
            <w:pPr>
              <w:pStyle w:val="ItemDescription"/>
              <w:rPr>
                <w:sz w:val="24"/>
                <w:szCs w:val="24"/>
              </w:rPr>
            </w:pPr>
          </w:p>
          <w:p w:rsidR="0072793B" w:rsidRDefault="0072793B" w:rsidP="0072793B">
            <w:r>
              <w:t>Credit Day 2 = 5.75</w:t>
            </w:r>
          </w:p>
          <w:p w:rsidR="0072793B" w:rsidRDefault="0072793B" w:rsidP="0072793B"/>
          <w:p w:rsidR="0072793B" w:rsidRDefault="0072793B" w:rsidP="0072793B">
            <w:r>
              <w:t>8:45-12:00 = 3.25</w:t>
            </w:r>
          </w:p>
          <w:p w:rsidR="0072793B" w:rsidRDefault="0072793B" w:rsidP="0072793B">
            <w:r>
              <w:t>1:00-4:00 = 3.00</w:t>
            </w:r>
          </w:p>
          <w:p w:rsidR="0072793B" w:rsidRDefault="0072793B" w:rsidP="0072793B">
            <w:r>
              <w:t>Subtotal = 6.25</w:t>
            </w:r>
          </w:p>
          <w:p w:rsidR="0072793B" w:rsidRDefault="0072793B" w:rsidP="0072793B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  <w:p w:rsidR="0072793B" w:rsidRPr="000B3DE8" w:rsidRDefault="0072793B" w:rsidP="0072793B">
            <w:pPr>
              <w:pStyle w:val="ItemDescription"/>
              <w:ind w:left="-1290"/>
              <w:rPr>
                <w:sz w:val="24"/>
                <w:szCs w:val="24"/>
              </w:rPr>
            </w:pPr>
          </w:p>
        </w:tc>
      </w:tr>
    </w:tbl>
    <w:p w:rsidR="009716C5" w:rsidRDefault="00DA5415" w:rsidP="009716C5">
      <w:pPr>
        <w:pStyle w:val="Heading2"/>
      </w:pPr>
      <w:r>
        <w:lastRenderedPageBreak/>
        <w:t>D</w:t>
      </w:r>
      <w:r w:rsidR="009716C5">
        <w:t>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:rsidR="00951CBE" w:rsidRPr="00A03C71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A03C71" w:rsidP="00EF7B8A">
            <w:pPr>
              <w:pStyle w:val="ItemDescription"/>
              <w:rPr>
                <w:b/>
                <w:sz w:val="24"/>
                <w:szCs w:val="24"/>
              </w:rPr>
            </w:pPr>
            <w:r w:rsidRPr="00A03C71">
              <w:rPr>
                <w:b/>
                <w:sz w:val="24"/>
                <w:szCs w:val="24"/>
              </w:rPr>
              <w:t xml:space="preserve">Orderable </w:t>
            </w:r>
            <w:proofErr w:type="spellStart"/>
            <w:r w:rsidRPr="00A03C71">
              <w:rPr>
                <w:b/>
                <w:sz w:val="24"/>
                <w:szCs w:val="24"/>
              </w:rPr>
              <w:t>SmartGroups</w:t>
            </w:r>
            <w:proofErr w:type="spellEnd"/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6A43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r w:rsidR="00276A43">
              <w:rPr>
                <w:sz w:val="24"/>
                <w:szCs w:val="24"/>
              </w:rPr>
              <w:t>&lt;&lt;INSERT ETHOS URL TO EVALUATION&gt;&gt;</w:t>
            </w:r>
            <w:bookmarkStart w:id="0" w:name="_GoBack"/>
            <w:bookmarkEnd w:id="0"/>
            <w:r w:rsidR="00276A43" w:rsidRPr="000B3D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716C5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9716C5" w:rsidRDefault="000477DB" w:rsidP="003E25D2">
            <w:pPr>
              <w:pStyle w:val="ItemName"/>
            </w:pPr>
            <w:r>
              <w:t>3:3</w:t>
            </w:r>
            <w:r w:rsidR="002C3D24">
              <w:t>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C6021" w:rsidRPr="00E40D58" w:rsidRDefault="002C3D24" w:rsidP="002C3D2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40D58">
              <w:rPr>
                <w:sz w:val="24"/>
                <w:szCs w:val="24"/>
              </w:rPr>
              <w:t>Optional walking tour if anyone is interested</w:t>
            </w:r>
          </w:p>
        </w:tc>
      </w:tr>
    </w:tbl>
    <w:p w:rsidR="00E4079E" w:rsidRDefault="00E4079E" w:rsidP="009716C5"/>
    <w:p w:rsidR="0072793B" w:rsidRDefault="0072793B" w:rsidP="0072793B"/>
    <w:p w:rsidR="0072793B" w:rsidRDefault="0072793B" w:rsidP="0072793B">
      <w:r>
        <w:t>Credit Day 3 = 5.25</w:t>
      </w:r>
    </w:p>
    <w:p w:rsidR="0072793B" w:rsidRDefault="0072793B" w:rsidP="0072793B"/>
    <w:p w:rsidR="0072793B" w:rsidRDefault="0072793B" w:rsidP="0072793B">
      <w:r>
        <w:t>8:45-12:00 = 3.25</w:t>
      </w:r>
    </w:p>
    <w:p w:rsidR="0072793B" w:rsidRDefault="0072793B" w:rsidP="0072793B">
      <w:r>
        <w:t>1:00-3:30 = 2.5</w:t>
      </w:r>
    </w:p>
    <w:p w:rsidR="0072793B" w:rsidRDefault="0072793B" w:rsidP="0072793B">
      <w:r>
        <w:t>Subtotal = 5.75</w:t>
      </w:r>
    </w:p>
    <w:p w:rsidR="0072793B" w:rsidRDefault="0072793B" w:rsidP="0072793B">
      <w:r>
        <w:t>Subtract .5 (breaks)</w:t>
      </w:r>
    </w:p>
    <w:p w:rsidR="0072793B" w:rsidRDefault="0072793B" w:rsidP="0072793B"/>
    <w:p w:rsidR="0072793B" w:rsidRPr="00CC38FB" w:rsidRDefault="0072793B" w:rsidP="0072793B">
      <w:pPr>
        <w:rPr>
          <w:b/>
        </w:rPr>
      </w:pPr>
      <w:r w:rsidRPr="00CC38FB">
        <w:rPr>
          <w:b/>
        </w:rPr>
        <w:t>TOTAL CREDIT:  17.25</w:t>
      </w:r>
    </w:p>
    <w:sectPr w:rsidR="0072793B" w:rsidRPr="00CC38FB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6A4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AE38E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2B03-5BA1-4AB7-800B-DF9A5EF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2892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Barbara Anderson</cp:lastModifiedBy>
  <cp:revision>2</cp:revision>
  <cp:lastPrinted>2014-04-01T20:46:00Z</cp:lastPrinted>
  <dcterms:created xsi:type="dcterms:W3CDTF">2017-12-28T20:14:00Z</dcterms:created>
  <dcterms:modified xsi:type="dcterms:W3CDTF">2017-12-28T20:14:00Z</dcterms:modified>
</cp:coreProperties>
</file>