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670B8">
        <w:t>July 26, 2019</w:t>
      </w:r>
    </w:p>
    <w:p w:rsidR="005E47C4" w:rsidRPr="00A172E0" w:rsidRDefault="005E47C4">
      <w:pPr>
        <w:pStyle w:val="Heading5"/>
      </w:pPr>
      <w:r>
        <w:t>Trainer</w:t>
      </w:r>
      <w:r w:rsidR="00716689">
        <w:t>s</w:t>
      </w:r>
      <w:r>
        <w:t>:</w:t>
      </w:r>
      <w:r w:rsidR="00646CAD">
        <w:t xml:space="preserve"> </w:t>
      </w:r>
      <w:r w:rsidR="009670B8">
        <w:t>Tyler Powers</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670B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70B8"/>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2532-2FEB-42FF-9E98-5332BE84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2019-07-23T15:05:00Z</dcterms:created>
  <dcterms:modified xsi:type="dcterms:W3CDTF">2019-07-23T15:05:00Z</dcterms:modified>
</cp:coreProperties>
</file>