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B5AB0">
        <w:t>July 7, 2018</w:t>
      </w:r>
    </w:p>
    <w:p w:rsidR="005E47C4" w:rsidRPr="00A172E0" w:rsidRDefault="005E47C4">
      <w:pPr>
        <w:pStyle w:val="Heading5"/>
      </w:pPr>
      <w:r>
        <w:t>Trainer</w:t>
      </w:r>
      <w:r w:rsidR="00716689">
        <w:t>s</w:t>
      </w:r>
      <w:r>
        <w:t>:</w:t>
      </w:r>
      <w:r w:rsidR="00646CAD">
        <w:t xml:space="preserve"> </w:t>
      </w:r>
      <w:r w:rsidR="00FB5AB0">
        <w:t xml:space="preserve">Mark </w:t>
      </w:r>
      <w:r w:rsidR="00175D23">
        <w:t>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175D23" w:rsidP="000F2F25">
            <w:pPr>
              <w:pStyle w:val="ItemName"/>
            </w:pPr>
            <w:r>
              <w:t>5</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175D23"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0B3DE8" w:rsidTr="000F2F25">
        <w:trPr>
          <w:cantSplit/>
        </w:trPr>
        <w:tc>
          <w:tcPr>
            <w:tcW w:w="1170" w:type="dxa"/>
          </w:tcPr>
          <w:p w:rsidR="006A5230" w:rsidRDefault="00175D23" w:rsidP="000F2F25">
            <w:pPr>
              <w:pStyle w:val="ItemName"/>
            </w:pPr>
            <w:r>
              <w:t>5</w:t>
            </w:r>
            <w:r w:rsidR="006A5230">
              <w:t>:35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Problem Oriented Charting</w:t>
            </w:r>
          </w:p>
          <w:p w:rsidR="006A5230" w:rsidRDefault="006A5230" w:rsidP="000F2F25">
            <w:pPr>
              <w:pStyle w:val="Bullet"/>
              <w:numPr>
                <w:ilvl w:val="0"/>
                <w:numId w:val="17"/>
              </w:numPr>
              <w:rPr>
                <w:sz w:val="24"/>
                <w:szCs w:val="24"/>
              </w:rPr>
            </w:pPr>
            <w:r>
              <w:rPr>
                <w:sz w:val="24"/>
                <w:szCs w:val="24"/>
              </w:rPr>
              <w:t>Write problem-based notes</w:t>
            </w:r>
          </w:p>
          <w:p w:rsidR="006A5230" w:rsidRPr="000B3DE8" w:rsidRDefault="006A5230" w:rsidP="000F2F25">
            <w:pPr>
              <w:pStyle w:val="Bullet"/>
              <w:numPr>
                <w:ilvl w:val="0"/>
                <w:numId w:val="17"/>
              </w:numPr>
              <w:rPr>
                <w:sz w:val="24"/>
                <w:szCs w:val="24"/>
              </w:rPr>
            </w:pPr>
            <w:r>
              <w:rPr>
                <w:sz w:val="24"/>
                <w:szCs w:val="24"/>
              </w:rPr>
              <w:t>Use problem-based SmartLinks</w:t>
            </w:r>
          </w:p>
        </w:tc>
      </w:tr>
      <w:tr w:rsidR="006A5230" w:rsidRPr="00E40D58" w:rsidTr="000F2F25">
        <w:trPr>
          <w:cantSplit/>
        </w:trPr>
        <w:tc>
          <w:tcPr>
            <w:tcW w:w="1170" w:type="dxa"/>
          </w:tcPr>
          <w:p w:rsidR="006A5230" w:rsidRDefault="00175D23" w:rsidP="000F2F25">
            <w:pPr>
              <w:pStyle w:val="ItemName"/>
            </w:pPr>
            <w:r>
              <w:t>5</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175D23" w:rsidP="000F2F25">
            <w:pPr>
              <w:pStyle w:val="ItemName"/>
            </w:pPr>
            <w:r>
              <w:t>6</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175D23" w:rsidP="000F2F25">
            <w:pPr>
              <w:pStyle w:val="ItemName"/>
            </w:pPr>
            <w:r>
              <w:t>7</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1256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1256B"/>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5D23"/>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B5AB0"/>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1344-3A62-4D51-865D-B6DEB6AC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2018-07-23T15:12:00Z</dcterms:created>
  <dcterms:modified xsi:type="dcterms:W3CDTF">2018-07-23T15:12:00Z</dcterms:modified>
</cp:coreProperties>
</file>