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Notecraft</w:t>
      </w:r>
      <w:proofErr w:type="spellEnd"/>
      <w:r>
        <w:rPr>
          <w:rFonts w:ascii="Segoe UI" w:hAnsi="Segoe UI" w:cs="Segoe UI"/>
        </w:rPr>
        <w:t xml:space="preserve">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4594280C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</w:t>
      </w:r>
      <w:r w:rsidR="00412585">
        <w:rPr>
          <w:rFonts w:ascii="Segoe UI" w:hAnsi="Segoe UI" w:cs="Segoe UI"/>
        </w:rPr>
        <w:t>Live Webinar</w:t>
      </w:r>
      <w:r w:rsidR="00D63C51" w:rsidRPr="006C379F">
        <w:rPr>
          <w:rFonts w:ascii="Segoe UI" w:hAnsi="Segoe UI" w:cs="Segoe UI"/>
        </w:rPr>
        <w:tab/>
      </w:r>
    </w:p>
    <w:p w14:paraId="6463F8D9" w14:textId="6CE6558A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ED12B0">
        <w:rPr>
          <w:rFonts w:ascii="Segoe UI" w:hAnsi="Segoe UI" w:cs="Segoe UI"/>
        </w:rPr>
        <w:t>October 14-15, 2021</w:t>
      </w:r>
    </w:p>
    <w:p w14:paraId="6A4E8C9F" w14:textId="25E299D6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ED12B0">
        <w:rPr>
          <w:rFonts w:ascii="Segoe UI" w:hAnsi="Segoe UI" w:cs="Segoe UI"/>
        </w:rPr>
        <w:t>Sara Stevenson</w:t>
      </w:r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>
        <w:rPr>
          <w:rFonts w:ascii="Segoe UI" w:hAnsi="Segoe UI" w:cs="Segoe UI"/>
          <w:sz w:val="22"/>
          <w:szCs w:val="22"/>
        </w:rPr>
        <w:t>Notewriter</w:t>
      </w:r>
      <w:proofErr w:type="spellEnd"/>
      <w:r>
        <w:rPr>
          <w:rFonts w:ascii="Segoe UI" w:hAnsi="Segoe UI" w:cs="Segoe UI"/>
          <w:sz w:val="22"/>
          <w:szCs w:val="22"/>
        </w:rPr>
        <w:t xml:space="preserve"> (MD205)</w:t>
      </w:r>
    </w:p>
    <w:p w14:paraId="2A403693" w14:textId="77777777" w:rsidR="00502E48" w:rsidRPr="007E36C8" w:rsidRDefault="00502E48" w:rsidP="00502E48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Learning Objectives: </w:t>
      </w:r>
    </w:p>
    <w:p w14:paraId="7C7A7C17" w14:textId="77777777" w:rsidR="00502E48" w:rsidRPr="007E36C8" w:rsidRDefault="00502E48" w:rsidP="00502E48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01F784A2" w14:textId="77777777" w:rsidR="00502E48" w:rsidRPr="001575B1" w:rsidRDefault="00502E48" w:rsidP="00502E48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FA7DB26" w14:textId="77777777" w:rsidR="00502E48" w:rsidRPr="001575B1" w:rsidRDefault="00502E48" w:rsidP="00502E48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358EFF4C" w14:textId="77777777" w:rsidR="00502E48" w:rsidRPr="00C828F3" w:rsidRDefault="00502E48" w:rsidP="00502E48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and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User and System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SmartTexts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proofErr w:type="spellStart"/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502E4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502E48" w:rsidRPr="006C379F" w14:paraId="708ABCB9" w14:textId="77777777" w:rsidTr="00502E48">
        <w:trPr>
          <w:cantSplit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162227" w14:textId="77777777" w:rsidR="00502E48" w:rsidRPr="006C379F" w:rsidRDefault="00502E48" w:rsidP="002D2CE8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90AA8" w14:textId="77777777" w:rsidR="00502E48" w:rsidRPr="006C379F" w:rsidRDefault="00502E48" w:rsidP="002D2CE8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3C78C0F6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  <w:r w:rsidR="00F71AE3">
              <w:rPr>
                <w:rFonts w:ascii="Segoe UI" w:hAnsi="Segoe UI" w:cs="Segoe UI"/>
                <w:b/>
                <w:sz w:val="24"/>
                <w:szCs w:val="24"/>
              </w:rPr>
              <w:t>^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06946BAC" w:rsidR="002A22BB" w:rsidRPr="002A22BB" w:rsidRDefault="00F71AE3" w:rsidP="002A22BB">
      <w:r>
        <w:t>^credit not offered for this session</w:t>
      </w:r>
    </w:p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265E" w14:textId="16C8E26C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412585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585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02E48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12B0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1AE3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D084-9AA3-4B6E-B522-0AF425E3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2051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SARA F SCOTT</cp:lastModifiedBy>
  <cp:revision>5</cp:revision>
  <cp:lastPrinted>2017-10-30T13:01:00Z</cp:lastPrinted>
  <dcterms:created xsi:type="dcterms:W3CDTF">2021-09-17T21:20:00Z</dcterms:created>
  <dcterms:modified xsi:type="dcterms:W3CDTF">2021-09-27T16:33:00Z</dcterms:modified>
</cp:coreProperties>
</file>