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pPr>
      <w:r>
        <w:rPr>
          <w:rFonts w:ascii="Avenir Next LT Pro Light" w:cs="Avenir Next LT Pro Light" w:eastAsia="Avenir Next LT Pro Light" w:hAnsi="Avenir Next LT Pro Light"/>
          <w:b/>
          <w:bCs/>
          <w:sz w:val="32"/>
          <w:szCs w:val="32"/>
          <w:u w:val="single"/>
        </w:rPr>
        <w:t xml:space="preserve">Agenda </w:t>
      </w:r>
      <w:r>
        <w:rPr>
          <w:rFonts w:ascii="Avenir Next LT Pro Light" w:cs="Avenir Next LT Pro Light" w:eastAsia="Avenir Next LT Pro Light" w:hAnsi="Avenir Next LT Pro Light"/>
          <w:b/>
          <w:bCs/>
          <w:sz w:val="32"/>
          <w:szCs w:val="32"/>
          <w:u w:val="single"/>
        </w:rPr>
        <w:t xml:space="preserve">IPNURMGR205: Inpatient Nurse Manager Quick Wins</w:t>
      </w:r>
    </w:p>
    <w:p>
      <w:pPr>
        <w:spacing w:after="0"/>
      </w:pPr>
      <w:r>
        <w:rPr>
          <w:rFonts w:ascii="Avenir Next LT Pro Light" w:cs="Avenir Next LT Pro Light" w:eastAsia="Avenir Next LT Pro Light" w:hAnsi="Avenir Next LT Pro Light"/>
          <w:sz w:val="22"/>
          <w:szCs w:val="22"/>
        </w:rPr>
        <w:t xml:space="preserve">March 30, 2026 – February 19, 2027 | Virtual Live Activity</w:t>
      </w:r>
    </w:p>
    <w:p>
      <w:pPr>
        <w:spacing w:after="0"/>
      </w:pPr>
    </w:p>
    <w:p>
      <w:pPr>
        <w:spacing w:after="0"/>
      </w:pPr>
      <w:r>
        <w:rPr>
          <w:rFonts w:ascii="Avenir Next LT Pro Light" w:cs="Avenir Next LT Pro Light" w:eastAsia="Avenir Next LT Pro Light" w:hAnsi="Avenir Next LT Pro Light"/>
          <w:b/>
          <w:bCs/>
          <w:sz w:val="22"/>
          <w:szCs w:val="22"/>
        </w:rPr>
        <w:t xml:space="preserve">Date: </w:t>
      </w:r>
      <w:r>
        <w:rPr>
          <w:rFonts w:ascii="Avenir Next LT Pro Light" w:cs="Avenir Next LT Pro Light" w:eastAsia="Avenir Next LT Pro Light" w:hAnsi="Avenir Next LT Pro Light"/>
          <w:sz w:val="22"/>
          <w:szCs w:val="22"/>
          <w:highlight w:val="yellow"/>
          <w:highlightCs w:val="yellow"/>
        </w:rPr>
        <w:t xml:space="preserve">06/18/2026</w:t>
      </w:r>
      <w:r>
        <w:rPr>
          <w:rFonts w:ascii="Avenir Next LT Pro Light" w:cs="Avenir Next LT Pro Light" w:eastAsia="Avenir Next LT Pro Light" w:hAnsi="Avenir Next LT Pro Light"/>
          <w:sz w:val="22"/>
          <w:szCs w:val="22"/>
        </w:rPr>
        <w:t xml:space="preserve"> at </w:t>
      </w:r>
      <w:r>
        <w:rPr>
          <w:rFonts w:ascii="Avenir Next LT Pro Light" w:cs="Avenir Next LT Pro Light" w:eastAsia="Avenir Next LT Pro Light" w:hAnsi="Avenir Next LT Pro Light"/>
          <w:sz w:val="22"/>
          <w:szCs w:val="22"/>
          <w:highlight w:val="yellow"/>
          <w:highlightCs w:val="yellow"/>
        </w:rPr>
        <w:t xml:space="preserve">3:30 PM</w:t>
      </w:r>
      <w:r>
        <w:rPr>
          <w:rFonts w:ascii="Avenir Next LT Pro Light" w:cs="Avenir Next LT Pro Light" w:eastAsia="Avenir Next LT Pro Light" w:hAnsi="Avenir Next LT Pro Light"/>
          <w:sz w:val="22"/>
          <w:szCs w:val="22"/>
        </w:rPr>
        <w:t xml:space="preserve"> CT</w:t>
      </w:r>
    </w:p>
    <w:p>
      <w:pPr>
        <w:spacing w:after="0"/>
      </w:pPr>
      <w:r>
        <w:rPr>
          <w:rFonts w:ascii="Avenir Next LT Pro Light" w:cs="Avenir Next LT Pro Light" w:eastAsia="Avenir Next LT Pro Light" w:hAnsi="Avenir Next LT Pro Light"/>
          <w:b/>
          <w:bCs/>
          <w:sz w:val="22"/>
          <w:szCs w:val="22"/>
        </w:rPr>
        <w:t xml:space="preserve">Trainer(s): </w:t>
      </w:r>
      <w:r>
        <w:rPr>
          <w:rFonts w:ascii="Avenir Next LT Pro Light" w:cs="Avenir Next LT Pro Light" w:eastAsia="Avenir Next LT Pro Light" w:hAnsi="Avenir Next LT Pro Light"/>
          <w:sz w:val="22"/>
          <w:szCs w:val="22"/>
          <w:highlight w:val="yellow"/>
          <w:highlightCs w:val="yellow"/>
        </w:rPr>
        <w:t xml:space="preserve">Kirsti Johanson, Coley Hoving</w:t>
      </w:r>
    </w:p>
    <w:p>
      <w:pPr>
        <w:spacing w:after="0"/>
      </w:pPr>
    </w:p>
    <w:p>
      <w:pPr>
        <w:spacing w:after="0" w:line="240" w:lineRule="auto"/>
      </w:pPr>
      <w:r>
        <w:rPr>
          <w:rFonts w:ascii="Avenir Next LT Pro Light" w:cs="Avenir Next LT Pro Light" w:eastAsia="Avenir Next LT Pro Light" w:hAnsi="Avenir Next LT Pro Light"/>
          <w:sz w:val="22"/>
          <w:szCs w:val="22"/>
          <w:u w:val="single"/>
        </w:rPr>
        <w:t xml:space="preserve">Course Learning Objectives</w:t>
      </w:r>
    </w:p>
    <w:p>
      <w:pPr>
        <w:spacing w:after="0"/>
      </w:pPr>
      <w:r>
        <w:rPr>
          <w:rFonts w:ascii="Avenir Next LT Pro Light" w:cs="Avenir Next LT Pro Light" w:eastAsia="Avenir Next LT Pro Light" w:hAnsi="Avenir Next LT Pro Light"/>
          <w:sz w:val="22"/>
          <w:szCs w:val="22"/>
        </w:rPr>
        <w:t xml:space="preserve">Following this training, participants will be able to:</w:t>
      </w:r>
    </w:p>
    <w:p>
      <w:pPr>
        <w:pStyle w:val="ListParagraph"/>
        <w:numPr>
          <w:ilvl w:val="0"/>
          <w:numId w:val="2"/>
        </w:numPr>
        <w:spacing w:after="0" w:line="240" w:lineRule="auto"/>
      </w:pPr>
      <w:r>
        <w:rPr>
          <w:rFonts w:ascii="Avenir Next LT Pro Light" w:cs="Avenir Next LT Pro Light" w:eastAsia="Avenir Next LT Pro Light" w:hAnsi="Avenir Next LT Pro Light"/>
          <w:sz w:val="22"/>
          <w:szCs w:val="22"/>
        </w:rPr>
        <w:t xml:space="preserve">Use Epic tools, including Reminder Lists, AI Summaries, and the Event Log to efficiently audit inpatient charts and follow up on patient care concerns.</w:t>
      </w:r>
    </w:p>
    <w:p>
      <w:pPr>
        <w:pStyle w:val="ListParagraph"/>
        <w:numPr>
          <w:ilvl w:val="0"/>
          <w:numId w:val="2"/>
        </w:numPr>
        <w:spacing w:after="0" w:line="240" w:lineRule="auto"/>
      </w:pPr>
      <w:r>
        <w:rPr>
          <w:rFonts w:ascii="Avenir Next LT Pro Light" w:cs="Avenir Next LT Pro Light" w:eastAsia="Avenir Next LT Pro Light" w:hAnsi="Avenir Next LT Pro Light"/>
          <w:sz w:val="22"/>
          <w:szCs w:val="22"/>
        </w:rPr>
        <w:t xml:space="preserve">Apply the Workflow Surveillance Metrics list and Assignment Wizard to monitor unit documentation compliance and support balanced patient assignments.</w:t>
      </w:r>
    </w:p>
    <w:p>
      <w:pPr>
        <w:pStyle w:val="ListParagraph"/>
        <w:numPr>
          <w:ilvl w:val="0"/>
          <w:numId w:val="2"/>
        </w:numPr>
        <w:spacing w:after="0" w:line="240" w:lineRule="auto"/>
      </w:pPr>
      <w:r>
        <w:rPr>
          <w:rFonts w:ascii="Avenir Next LT Pro Light" w:cs="Avenir Next LT Pro Light" w:eastAsia="Avenir Next LT Pro Light" w:hAnsi="Avenir Next LT Pro Light"/>
          <w:sz w:val="22"/>
          <w:szCs w:val="22"/>
        </w:rPr>
        <w:t xml:space="preserve">Analyze unit performance data using Analytics Catalog dashboards, Reporting Workbench, and SlicerDicer to identify trends and inform quality improvement decisions.</w:t>
      </w:r>
    </w:p>
    <w:p>
      <w:pPr>
        <w:spacing w:after="0" w:line="240" w:lineRule="auto"/>
      </w:pPr>
    </w:p>
    <w:p>
      <w:pPr>
        <w:spacing w:after="0" w:line="240" w:lineRule="auto"/>
      </w:pPr>
      <w:r>
        <w:rPr>
          <w:rFonts w:ascii="Avenir Next LT Pro Light" w:cs="Avenir Next LT Pro Light" w:eastAsia="Avenir Next LT Pro Light" w:hAnsi="Avenir Next LT Pro Light"/>
          <w:sz w:val="22"/>
          <w:szCs w:val="22"/>
          <w:u w:val="single"/>
        </w:rPr>
        <w:t xml:space="preserve">Agenda</w:t>
      </w:r>
    </w:p>
    <w:tbl>
      <w:tblPr>
        <w:tblW w:type="dxa" w:w="10435"/>
        <w:tblBorders>
          <w:top w:val="single" w:color="auto" w:sz="4"/>
          <w:left w:val="single" w:color="auto" w:sz="4"/>
          <w:bottom w:val="single" w:color="auto" w:sz="4"/>
          <w:right w:val="single" w:color="auto" w:sz="4"/>
          <w:insideH w:val="single" w:color="auto" w:sz="4"/>
          <w:insideV w:val="single" w:color="auto" w:sz="4"/>
        </w:tblBorders>
      </w:tblPr>
      <w:tblGrid>
        <w:gridCol w:w="2515"/>
        <w:gridCol w:w="7920"/>
      </w:tblGrid>
      <w:tr>
        <w:tc>
          <w:tcPr>
            <w:tcW w:type="dxa" w:w="2515"/>
            <w:shd w:fill="F2F2F2" w:val="clear"/>
          </w:tcPr>
          <w:p>
            <w:r>
              <w:rPr>
                <w:rFonts w:ascii="Avenir Next LT Pro Light" w:cs="Avenir Next LT Pro Light" w:eastAsia="Avenir Next LT Pro Light" w:hAnsi="Avenir Next LT Pro Light"/>
                <w:b/>
                <w:bCs/>
                <w:sz w:val="22"/>
                <w:szCs w:val="22"/>
              </w:rPr>
              <w:t xml:space="preserve">Time</w:t>
            </w:r>
          </w:p>
        </w:tc>
        <w:tc>
          <w:tcPr>
            <w:tcW w:type="dxa" w:w="7920"/>
            <w:shd w:fill="F2F2F2" w:val="clear"/>
          </w:tcPr>
          <w:p>
            <w:r>
              <w:rPr>
                <w:rFonts w:ascii="Avenir Next LT Pro Light" w:cs="Avenir Next LT Pro Light" w:eastAsia="Avenir Next LT Pro Light" w:hAnsi="Avenir Next LT Pro Light"/>
                <w:b/>
                <w:bCs/>
                <w:sz w:val="22"/>
                <w:szCs w:val="22"/>
              </w:rPr>
              <w:t xml:space="preserve">Topics</w:t>
            </w:r>
          </w:p>
        </w:tc>
      </w:tr>
      <w:tr>
        <w:tc>
          <w:tcPr>
            <w:tcW w:type="dxa" w:w="2515"/>
          </w:tcPr>
          <w:p>
            <w:r>
              <w:rPr>
                <w:rFonts w:ascii="Avenir Next LT Pro Light" w:cs="Avenir Next LT Pro Light" w:eastAsia="Avenir Next LT Pro Light" w:hAnsi="Avenir Next LT Pro Light"/>
                <w:b/>
                <w:bCs/>
                <w:sz w:val="22"/>
                <w:szCs w:val="22"/>
              </w:rPr>
              <w:t xml:space="preserve">5 minutes</w:t>
            </w:r>
          </w:p>
        </w:tc>
        <w:tc>
          <w:tcPr>
            <w:tcW w:type="dxa" w:w="7920"/>
          </w:tcPr>
          <w:p>
            <w:pPr>
              <w:spacing w:after="0"/>
            </w:pPr>
            <w:r>
              <w:rPr>
                <w:rFonts w:ascii="Avenir Next LT Pro Light" w:cs="Avenir Next LT Pro Light" w:eastAsia="Avenir Next LT Pro Light" w:hAnsi="Avenir Next LT Pro Light"/>
                <w:b/>
                <w:bCs/>
                <w:sz w:val="22"/>
                <w:szCs w:val="22"/>
              </w:rPr>
              <w:t xml:space="preserve">Welcome and Introduction to Class Format and Agenda</w:t>
            </w:r>
          </w:p>
          <w:p>
            <w:pPr>
              <w:spacing w:after="0"/>
            </w:pPr>
            <w:r>
              <w:rPr>
                <w:rFonts w:ascii="Avenir Next LT Pro Light" w:cs="Avenir Next LT Pro Light" w:eastAsia="Avenir Next LT Pro Light" w:hAnsi="Avenir Next LT Pro Light"/>
                <w:sz w:val="22"/>
                <w:szCs w:val="22"/>
              </w:rPr>
              <w:t xml:space="preserve">– No credit is provided for this section</w:t>
            </w:r>
          </w:p>
        </w:tc>
      </w:tr>
      <w:tr>
        <w:tc>
          <w:tcPr>
            <w:tcW w:type="dxa" w:w="2515"/>
          </w:tcPr>
          <w:p>
            <w:r>
              <w:rPr>
                <w:rFonts w:ascii="Avenir Next LT Pro Light" w:cs="Avenir Next LT Pro Light" w:eastAsia="Avenir Next LT Pro Light" w:hAnsi="Avenir Next LT Pro Light"/>
                <w:b/>
                <w:bCs/>
                <w:sz w:val="22"/>
                <w:szCs w:val="22"/>
              </w:rPr>
              <w:t xml:space="preserve">25 minutes</w:t>
            </w:r>
          </w:p>
        </w:tc>
        <w:tc>
          <w:tcPr>
            <w:tcW w:type="dxa" w:w="7920"/>
          </w:tcPr>
          <w:p>
            <w:pPr>
              <w:spacing w:after="0"/>
            </w:pPr>
            <w:r>
              <w:rPr>
                <w:rFonts w:ascii="Avenir Next LT Pro Light" w:cs="Avenir Next LT Pro Light" w:eastAsia="Avenir Next LT Pro Light" w:hAnsi="Avenir Next LT Pro Light"/>
                <w:b/>
                <w:bCs/>
                <w:sz w:val="22"/>
                <w:szCs w:val="22"/>
              </w:rPr>
              <w:t xml:space="preserve">Audit a Chart Efficiently</w:t>
            </w:r>
          </w:p>
          <w:p>
            <w:pPr>
              <w:spacing w:after="0"/>
            </w:pPr>
            <w:r>
              <w:rPr>
                <w:rFonts w:ascii="Avenir Next LT Pro Light" w:cs="Avenir Next LT Pro Light" w:eastAsia="Avenir Next LT Pro Light" w:hAnsi="Avenir Next LT Pro Light"/>
                <w:sz w:val="22"/>
                <w:szCs w:val="22"/>
              </w:rPr>
              <w:t xml:space="preserve">Use tools such as Reminder Lists, AI Summaries, the Event Log, Flowsheet reports, and Chart Search to efficiently investigate patient charts and follow up on care concerns</w:t>
            </w:r>
          </w:p>
        </w:tc>
      </w:tr>
      <w:tr>
        <w:tc>
          <w:tcPr>
            <w:tcW w:type="dxa" w:w="2515"/>
          </w:tcPr>
          <w:p>
            <w:r>
              <w:rPr>
                <w:rFonts w:ascii="Avenir Next LT Pro Light" w:cs="Avenir Next LT Pro Light" w:eastAsia="Avenir Next LT Pro Light" w:hAnsi="Avenir Next LT Pro Light"/>
                <w:b/>
                <w:bCs/>
                <w:sz w:val="22"/>
                <w:szCs w:val="22"/>
              </w:rPr>
              <w:t xml:space="preserve">18 minutes</w:t>
            </w:r>
          </w:p>
        </w:tc>
        <w:tc>
          <w:tcPr>
            <w:tcW w:type="dxa" w:w="7920"/>
          </w:tcPr>
          <w:p>
            <w:pPr>
              <w:spacing w:after="0"/>
            </w:pPr>
            <w:r>
              <w:rPr>
                <w:rFonts w:ascii="Avenir Next LT Pro Light" w:cs="Avenir Next LT Pro Light" w:eastAsia="Avenir Next LT Pro Light" w:hAnsi="Avenir Next LT Pro Light"/>
                <w:b/>
                <w:bCs/>
                <w:sz w:val="22"/>
                <w:szCs w:val="22"/>
              </w:rPr>
              <w:t xml:space="preserve">Manage the Unit</w:t>
            </w:r>
          </w:p>
          <w:p>
            <w:pPr>
              <w:spacing w:after="0"/>
            </w:pPr>
            <w:r>
              <w:rPr>
                <w:rFonts w:ascii="Avenir Next LT Pro Light" w:cs="Avenir Next LT Pro Light" w:eastAsia="Avenir Next LT Pro Light" w:hAnsi="Avenir Next LT Pro Light"/>
                <w:sz w:val="22"/>
                <w:szCs w:val="22"/>
              </w:rPr>
              <w:t xml:space="preserve">Monitor unit documentation and staffing using Workflow Surveillance Metrics, the Assignment Wizard, Secure Chat settings, and the Declined Orders inbox</w:t>
            </w:r>
          </w:p>
        </w:tc>
      </w:tr>
      <w:tr>
        <w:tc>
          <w:tcPr>
            <w:tcW w:type="dxa" w:w="2515"/>
          </w:tcPr>
          <w:p>
            <w:r>
              <w:rPr>
                <w:rFonts w:ascii="Avenir Next LT Pro Light" w:cs="Avenir Next LT Pro Light" w:eastAsia="Avenir Next LT Pro Light" w:hAnsi="Avenir Next LT Pro Light"/>
                <w:b/>
                <w:bCs/>
                <w:sz w:val="22"/>
                <w:szCs w:val="22"/>
              </w:rPr>
              <w:t xml:space="preserve">10 minutes</w:t>
            </w:r>
          </w:p>
        </w:tc>
        <w:tc>
          <w:tcPr>
            <w:tcW w:type="dxa" w:w="7920"/>
          </w:tcPr>
          <w:p>
            <w:pPr>
              <w:spacing w:after="0"/>
            </w:pPr>
            <w:r>
              <w:rPr>
                <w:rFonts w:ascii="Avenir Next LT Pro Light" w:cs="Avenir Next LT Pro Light" w:eastAsia="Avenir Next LT Pro Light" w:hAnsi="Avenir Next LT Pro Light"/>
                <w:b/>
                <w:bCs/>
                <w:sz w:val="22"/>
                <w:szCs w:val="22"/>
              </w:rPr>
              <w:t xml:space="preserve">Reporting</w:t>
            </w:r>
          </w:p>
          <w:p>
            <w:pPr>
              <w:spacing w:after="0"/>
            </w:pPr>
            <w:r>
              <w:rPr>
                <w:rFonts w:ascii="Avenir Next LT Pro Light" w:cs="Avenir Next LT Pro Light" w:eastAsia="Avenir Next LT Pro Light" w:hAnsi="Avenir Next LT Pro Light"/>
                <w:sz w:val="22"/>
                <w:szCs w:val="22"/>
              </w:rPr>
              <w:t xml:space="preserve">Navigate Analytics Catalog dashboards, customize Reporting Workbench views, and explore unit performance data in SlicerDicer to identify trends and support quality improvement</w:t>
            </w:r>
          </w:p>
        </w:tc>
      </w:tr>
      <w:tr>
        <w:tc>
          <w:tcPr>
            <w:tcW w:type="dxa" w:w="2515"/>
          </w:tcPr>
          <w:p>
            <w:r>
              <w:rPr>
                <w:rFonts w:ascii="Avenir Next LT Pro Light" w:cs="Avenir Next LT Pro Light" w:eastAsia="Avenir Next LT Pro Light" w:hAnsi="Avenir Next LT Pro Light"/>
                <w:b/>
                <w:bCs/>
                <w:sz w:val="22"/>
                <w:szCs w:val="22"/>
              </w:rPr>
              <w:t xml:space="preserve">2 minutes</w:t>
            </w:r>
          </w:p>
        </w:tc>
        <w:tc>
          <w:tcPr>
            <w:tcW w:type="dxa" w:w="7920"/>
          </w:tcPr>
          <w:p>
            <w:pPr>
              <w:spacing w:after="0"/>
            </w:pPr>
            <w:r>
              <w:rPr>
                <w:rFonts w:ascii="Avenir Next LT Pro Light" w:cs="Avenir Next LT Pro Light" w:eastAsia="Avenir Next LT Pro Light" w:hAnsi="Avenir Next LT Pro Light"/>
                <w:b/>
                <w:bCs/>
                <w:sz w:val="22"/>
                <w:szCs w:val="22"/>
              </w:rPr>
              <w:t xml:space="preserve">Review and Q&amp;A</w:t>
            </w:r>
          </w:p>
          <w:p>
            <w:pPr>
              <w:spacing w:after="0"/>
            </w:pPr>
            <w:r>
              <w:rPr>
                <w:rFonts w:ascii="Avenir Next LT Pro Light" w:cs="Avenir Next LT Pro Light" w:eastAsia="Avenir Next LT Pro Light" w:hAnsi="Avenir Next LT Pro Light"/>
                <w:sz w:val="22"/>
                <w:szCs w:val="22"/>
              </w:rPr>
              <w:t xml:space="preserve">Review Top Items to Implement During Your Next Shift and answer questions</w:t>
            </w:r>
          </w:p>
        </w:tc>
      </w:tr>
    </w:tbl>
    <w:p>
      <w:pPr>
        <w:spacing w:after="0"/>
      </w:pPr>
    </w:p>
    <w:p>
      <w:pPr>
        <w:pBdr>
          <w:top w:val="single" w:color="000000" w:sz="6" w:space="4"/>
          <w:bottom w:val="single" w:color="000000" w:sz="6" w:space="4"/>
          <w:left w:val="single" w:color="000000" w:sz="6" w:space="4"/>
          <w:right w:val="single" w:color="000000" w:sz="6" w:space="4"/>
        </w:pBdr>
        <w:shd w:fill="FFFFCC" w:val="clear"/>
        <w:spacing w:after="120" w:line="240" w:lineRule="auto"/>
      </w:pPr>
      <w:r>
        <w:rPr>
          <w:rFonts w:ascii="Avenir Next LT Pro Light" w:cs="Avenir Next LT Pro Light" w:eastAsia="Avenir Next LT Pro Light" w:hAnsi="Avenir Next LT Pro Light"/>
          <w:sz w:val="22"/>
          <w:szCs w:val="22"/>
        </w:rPr>
        <w:t xml:space="preserve">All training sessions use a current release of the application. If your organization is using an older version of the software, you will likely encounter some discrepancies between the features and functionality you learn and what is available in your system.</w:t>
      </w:r>
    </w:p>
    <w:sectPr>
      <w:pgSz w:w="12240" w:h="15840" w:orient="portrait"/>
      <w:pgMar w:top="720" w:right="720" w:bottom="720" w:left="72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rPr>
        <w:rFonts w:ascii="Avenir Next LT Pro Light" w:cs="Avenir Next LT Pro Light" w:eastAsia="Avenir Next LT Pro Light" w:hAnsi="Avenir Next LT Pro Light"/>
        <w:sz w:val="22"/>
        <w:szCs w:val="22"/>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2026-05-08T16:45:10.721Z</dcterms:created>
  <dcterms:modified xsi:type="dcterms:W3CDTF">2026-05-08T16:45:10.721Z</dcterms:modified>
</cp:coreProperties>
</file>

<file path=docProps/custom.xml><?xml version="1.0" encoding="utf-8"?>
<Properties xmlns="http://schemas.openxmlformats.org/officeDocument/2006/custom-properties" xmlns:vt="http://schemas.openxmlformats.org/officeDocument/2006/docPropsVTypes"/>
</file>