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pPr>
      <w:r>
        <w:rPr>
          <w:rFonts w:ascii="Avenir Next LT Pro Light" w:cs="Avenir Next LT Pro Light" w:eastAsia="Avenir Next LT Pro Light" w:hAnsi="Avenir Next LT Pro Light"/>
          <w:b/>
          <w:bCs/>
          <w:sz w:val="32"/>
          <w:szCs w:val="32"/>
          <w:u w:val="single"/>
        </w:rPr>
        <w:t xml:space="preserve">Agenda </w:t>
      </w:r>
      <w:r>
        <w:rPr>
          <w:rFonts w:ascii="Avenir Next LT Pro Light" w:cs="Avenir Next LT Pro Light" w:eastAsia="Avenir Next LT Pro Light" w:hAnsi="Avenir Next LT Pro Light"/>
          <w:b/>
          <w:bCs/>
          <w:sz w:val="32"/>
          <w:szCs w:val="32"/>
          <w:u w:val="single"/>
        </w:rPr>
        <w:t xml:space="preserve">NUR208: Reporting Quick Wins</w:t>
      </w:r>
    </w:p>
    <w:p>
      <w:pPr>
        <w:spacing w:after="0"/>
      </w:pPr>
      <w:r>
        <w:rPr>
          <w:rFonts w:ascii="Avenir Next LT Pro Light" w:cs="Avenir Next LT Pro Light" w:eastAsia="Avenir Next LT Pro Light" w:hAnsi="Avenir Next LT Pro Light"/>
          <w:sz w:val="22"/>
          <w:szCs w:val="22"/>
        </w:rPr>
        <w:t xml:space="preserve">March 30, 2026 – February 19, 2027 | Virtual Live Activity</w:t>
      </w:r>
    </w:p>
    <w:p>
      <w:pPr>
        <w:spacing w:after="0"/>
      </w:pPr>
    </w:p>
    <w:p>
      <w:pPr>
        <w:spacing w:after="0"/>
      </w:pPr>
      <w:r>
        <w:rPr>
          <w:rFonts w:ascii="Avenir Next LT Pro Light" w:cs="Avenir Next LT Pro Light" w:eastAsia="Avenir Next LT Pro Light" w:hAnsi="Avenir Next LT Pro Light"/>
          <w:b/>
          <w:bCs/>
          <w:sz w:val="22"/>
          <w:szCs w:val="22"/>
        </w:rPr>
        <w:t xml:space="preserve">Date: </w:t>
      </w:r>
      <w:r>
        <w:rPr>
          <w:rFonts w:ascii="Avenir Next LT Pro Light" w:cs="Avenir Next LT Pro Light" w:eastAsia="Avenir Next LT Pro Light" w:hAnsi="Avenir Next LT Pro Light"/>
          <w:sz w:val="22"/>
          <w:szCs w:val="22"/>
          <w:highlight w:val="yellow"/>
          <w:highlightCs w:val="yellow"/>
        </w:rPr>
        <w:t xml:space="preserve">05/21/2026</w:t>
      </w:r>
      <w:r>
        <w:rPr>
          <w:rFonts w:ascii="Avenir Next LT Pro Light" w:cs="Avenir Next LT Pro Light" w:eastAsia="Avenir Next LT Pro Light" w:hAnsi="Avenir Next LT Pro Light"/>
          <w:sz w:val="22"/>
          <w:szCs w:val="22"/>
        </w:rPr>
        <w:t xml:space="preserve"> at </w:t>
      </w:r>
      <w:r>
        <w:rPr>
          <w:rFonts w:ascii="Avenir Next LT Pro Light" w:cs="Avenir Next LT Pro Light" w:eastAsia="Avenir Next LT Pro Light" w:hAnsi="Avenir Next LT Pro Light"/>
          <w:sz w:val="22"/>
          <w:szCs w:val="22"/>
          <w:highlight w:val="yellow"/>
          <w:highlightCs w:val="yellow"/>
        </w:rPr>
        <w:t xml:space="preserve">12:30 PM</w:t>
      </w:r>
      <w:r>
        <w:rPr>
          <w:rFonts w:ascii="Avenir Next LT Pro Light" w:cs="Avenir Next LT Pro Light" w:eastAsia="Avenir Next LT Pro Light" w:hAnsi="Avenir Next LT Pro Light"/>
          <w:sz w:val="22"/>
          <w:szCs w:val="22"/>
        </w:rPr>
        <w:t xml:space="preserve"> CT</w:t>
      </w:r>
    </w:p>
    <w:p>
      <w:pPr>
        <w:spacing w:after="0"/>
      </w:pPr>
      <w:r>
        <w:rPr>
          <w:rFonts w:ascii="Avenir Next LT Pro Light" w:cs="Avenir Next LT Pro Light" w:eastAsia="Avenir Next LT Pro Light" w:hAnsi="Avenir Next LT Pro Light"/>
          <w:b/>
          <w:bCs/>
          <w:sz w:val="22"/>
          <w:szCs w:val="22"/>
        </w:rPr>
        <w:t xml:space="preserve">Trainer(s): </w:t>
      </w:r>
      <w:r>
        <w:rPr>
          <w:rFonts w:ascii="Avenir Next LT Pro Light" w:cs="Avenir Next LT Pro Light" w:eastAsia="Avenir Next LT Pro Light" w:hAnsi="Avenir Next LT Pro Light"/>
          <w:sz w:val="22"/>
          <w:szCs w:val="22"/>
          <w:highlight w:val="yellow"/>
          <w:highlightCs w:val="yellow"/>
        </w:rPr>
        <w:t xml:space="preserve">Cody Saal, Alana Klein</w:t>
      </w:r>
    </w:p>
    <w:p>
      <w:pPr>
        <w:spacing w:after="0"/>
      </w:pPr>
    </w:p>
    <w:p>
      <w:pPr>
        <w:spacing w:after="0" w:line="240" w:lineRule="auto"/>
      </w:pPr>
      <w:r>
        <w:rPr>
          <w:rFonts w:ascii="Avenir Next LT Pro Light" w:cs="Avenir Next LT Pro Light" w:eastAsia="Avenir Next LT Pro Light" w:hAnsi="Avenir Next LT Pro Light"/>
          <w:sz w:val="22"/>
          <w:szCs w:val="22"/>
          <w:u w:val="single"/>
        </w:rPr>
        <w:t xml:space="preserve">Course Learning Objectives</w:t>
      </w:r>
    </w:p>
    <w:p>
      <w:pPr>
        <w:spacing w:after="0"/>
      </w:pPr>
      <w:r>
        <w:rPr>
          <w:rFonts w:ascii="Avenir Next LT Pro Light" w:cs="Avenir Next LT Pro Light" w:eastAsia="Avenir Next LT Pro Light" w:hAnsi="Avenir Next LT Pro Light"/>
          <w:sz w:val="22"/>
          <w:szCs w:val="22"/>
        </w:rPr>
        <w:t xml:space="preserve">Following this training, participants will be able to:</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Find and personalize Reporting Workbench reports.</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Create a new Reporting Workbench report and take action from results.</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Describe the basics of creating SlicerDicer sessions to explore Patient data.</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Apply dashboard personalizations to effectively organize reporting content and streamline reporting workflows.</w:t>
      </w:r>
    </w:p>
    <w:p>
      <w:pPr>
        <w:spacing w:after="0" w:line="240" w:lineRule="auto"/>
      </w:pPr>
    </w:p>
    <w:p>
      <w:pPr>
        <w:spacing w:after="0" w:line="240" w:lineRule="auto"/>
      </w:pPr>
      <w:r>
        <w:rPr>
          <w:rFonts w:ascii="Avenir Next LT Pro Light" w:cs="Avenir Next LT Pro Light" w:eastAsia="Avenir Next LT Pro Light" w:hAnsi="Avenir Next LT Pro Light"/>
          <w:sz w:val="22"/>
          <w:szCs w:val="22"/>
          <w:u w:val="single"/>
        </w:rPr>
        <w:t xml:space="preserve">Agenda</w:t>
      </w:r>
    </w:p>
    <w:tbl>
      <w:tblPr>
        <w:tblW w:type="dxa" w:w="10435"/>
        <w:tblBorders>
          <w:top w:val="single" w:color="auto" w:sz="4"/>
          <w:left w:val="single" w:color="auto" w:sz="4"/>
          <w:bottom w:val="single" w:color="auto" w:sz="4"/>
          <w:right w:val="single" w:color="auto" w:sz="4"/>
          <w:insideH w:val="single" w:color="auto" w:sz="4"/>
          <w:insideV w:val="single" w:color="auto" w:sz="4"/>
        </w:tblBorders>
      </w:tblPr>
      <w:tblGrid>
        <w:gridCol w:w="2515"/>
        <w:gridCol w:w="7920"/>
      </w:tblGrid>
      <w:tr>
        <w:tc>
          <w:tcPr>
            <w:tcW w:type="dxa" w:w="2515"/>
            <w:shd w:fill="F2F2F2" w:val="clear"/>
          </w:tcPr>
          <w:p>
            <w:r>
              <w:rPr>
                <w:rFonts w:ascii="Avenir Next LT Pro Light" w:cs="Avenir Next LT Pro Light" w:eastAsia="Avenir Next LT Pro Light" w:hAnsi="Avenir Next LT Pro Light"/>
                <w:b/>
                <w:bCs/>
                <w:sz w:val="22"/>
                <w:szCs w:val="22"/>
              </w:rPr>
              <w:t xml:space="preserve">Time</w:t>
            </w:r>
          </w:p>
        </w:tc>
        <w:tc>
          <w:tcPr>
            <w:tcW w:type="dxa" w:w="7920"/>
            <w:shd w:fill="F2F2F2" w:val="clear"/>
          </w:tcPr>
          <w:p>
            <w:r>
              <w:rPr>
                <w:rFonts w:ascii="Avenir Next LT Pro Light" w:cs="Avenir Next LT Pro Light" w:eastAsia="Avenir Next LT Pro Light" w:hAnsi="Avenir Next LT Pro Light"/>
                <w:b/>
                <w:bCs/>
                <w:sz w:val="22"/>
                <w:szCs w:val="22"/>
              </w:rPr>
              <w:t xml:space="preserve">Topics</w:t>
            </w:r>
          </w:p>
        </w:tc>
      </w:tr>
      <w:tr>
        <w:tc>
          <w:tcPr>
            <w:tcW w:type="dxa" w:w="2515"/>
          </w:tcPr>
          <w:p>
            <w:r>
              <w:rPr>
                <w:rFonts w:ascii="Avenir Next LT Pro Light" w:cs="Avenir Next LT Pro Light" w:eastAsia="Avenir Next LT Pro Light" w:hAnsi="Avenir Next LT Pro Light"/>
                <w:b/>
                <w:bCs/>
                <w:sz w:val="22"/>
                <w:szCs w:val="22"/>
              </w:rPr>
              <w:t xml:space="preserve">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Welcome and Introduction to Class Format and Agenda</w:t>
            </w:r>
          </w:p>
          <w:p>
            <w:pPr>
              <w:spacing w:after="0"/>
            </w:pPr>
            <w:r>
              <w:rPr>
                <w:rFonts w:ascii="Avenir Next LT Pro Light" w:cs="Avenir Next LT Pro Light" w:eastAsia="Avenir Next LT Pro Light" w:hAnsi="Avenir Next LT Pro Light"/>
                <w:sz w:val="22"/>
                <w:szCs w:val="22"/>
              </w:rPr>
              <w:t xml:space="preserve">– No credit is provided for this section</w:t>
            </w:r>
          </w:p>
        </w:tc>
      </w:tr>
      <w:tr>
        <w:tc>
          <w:tcPr>
            <w:tcW w:type="dxa" w:w="2515"/>
          </w:tcPr>
          <w:p>
            <w:r>
              <w:rPr>
                <w:rFonts w:ascii="Avenir Next LT Pro Light" w:cs="Avenir Next LT Pro Light" w:eastAsia="Avenir Next LT Pro Light" w:hAnsi="Avenir Next LT Pro Light"/>
                <w:b/>
                <w:bCs/>
                <w:sz w:val="22"/>
                <w:szCs w:val="22"/>
              </w:rPr>
              <w:t xml:space="preserve">15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Reporting Workbench</w:t>
            </w:r>
          </w:p>
          <w:p>
            <w:pPr>
              <w:spacing w:after="0"/>
            </w:pPr>
            <w:r>
              <w:rPr>
                <w:rFonts w:ascii="Avenir Next LT Pro Light" w:cs="Avenir Next LT Pro Light" w:eastAsia="Avenir Next LT Pro Light" w:hAnsi="Avenir Next LT Pro Light"/>
                <w:sz w:val="22"/>
                <w:szCs w:val="22"/>
              </w:rPr>
              <w:t xml:space="preserve">Find, Organize, Run and Personalize Reporting Workbench Reports</w:t>
            </w:r>
          </w:p>
        </w:tc>
      </w:tr>
      <w:tr>
        <w:tc>
          <w:tcPr>
            <w:tcW w:type="dxa" w:w="2515"/>
          </w:tcPr>
          <w:p>
            <w:r>
              <w:rPr>
                <w:rFonts w:ascii="Avenir Next LT Pro Light" w:cs="Avenir Next LT Pro Light" w:eastAsia="Avenir Next LT Pro Light" w:hAnsi="Avenir Next LT Pro Light"/>
                <w:b/>
                <w:bCs/>
                <w:sz w:val="22"/>
                <w:szCs w:val="22"/>
              </w:rPr>
              <w:t xml:space="preserve">15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New Reports</w:t>
            </w:r>
          </w:p>
          <w:p>
            <w:pPr>
              <w:spacing w:after="0"/>
            </w:pPr>
            <w:r>
              <w:rPr>
                <w:rFonts w:ascii="Avenir Next LT Pro Light" w:cs="Avenir Next LT Pro Light" w:eastAsia="Avenir Next LT Pro Light" w:hAnsi="Avenir Next LT Pro Light"/>
                <w:sz w:val="22"/>
                <w:szCs w:val="22"/>
              </w:rPr>
              <w:t xml:space="preserve">Create a new reporting workbench report</w:t>
            </w:r>
          </w:p>
        </w:tc>
      </w:tr>
      <w:tr>
        <w:tc>
          <w:tcPr>
            <w:tcW w:type="dxa" w:w="2515"/>
          </w:tcPr>
          <w:p>
            <w:r>
              <w:rPr>
                <w:rFonts w:ascii="Avenir Next LT Pro Light" w:cs="Avenir Next LT Pro Light" w:eastAsia="Avenir Next LT Pro Light" w:hAnsi="Avenir Next LT Pro Light"/>
                <w:b/>
                <w:bCs/>
                <w:sz w:val="22"/>
                <w:szCs w:val="22"/>
              </w:rPr>
              <w:t xml:space="preserve">15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Slicer Dicer</w:t>
            </w:r>
          </w:p>
          <w:p>
            <w:pPr>
              <w:spacing w:after="0"/>
            </w:pPr>
            <w:r>
              <w:rPr>
                <w:rFonts w:ascii="Avenir Next LT Pro Light" w:cs="Avenir Next LT Pro Light" w:eastAsia="Avenir Next LT Pro Light" w:hAnsi="Avenir Next LT Pro Light"/>
                <w:sz w:val="22"/>
                <w:szCs w:val="22"/>
              </w:rPr>
              <w:t xml:space="preserve">The basics of Slicer Dicer</w:t>
            </w:r>
          </w:p>
        </w:tc>
      </w:tr>
      <w:tr>
        <w:tc>
          <w:tcPr>
            <w:tcW w:type="dxa" w:w="2515"/>
          </w:tcPr>
          <w:p>
            <w:r>
              <w:rPr>
                <w:rFonts w:ascii="Avenir Next LT Pro Light" w:cs="Avenir Next LT Pro Light" w:eastAsia="Avenir Next LT Pro Light" w:hAnsi="Avenir Next LT Pro Light"/>
                <w:b/>
                <w:bCs/>
                <w:sz w:val="22"/>
                <w:szCs w:val="22"/>
              </w:rPr>
              <w:t xml:space="preserve">10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Dashboards</w:t>
            </w:r>
          </w:p>
          <w:p>
            <w:pPr>
              <w:spacing w:after="0"/>
            </w:pPr>
            <w:r>
              <w:rPr>
                <w:rFonts w:ascii="Avenir Next LT Pro Light" w:cs="Avenir Next LT Pro Light" w:eastAsia="Avenir Next LT Pro Light" w:hAnsi="Avenir Next LT Pro Light"/>
                <w:sz w:val="22"/>
                <w:szCs w:val="22"/>
              </w:rPr>
              <w:t xml:space="preserve">Personalizing your dashboards for long term data analysis</w:t>
            </w:r>
          </w:p>
        </w:tc>
      </w:tr>
    </w:tbl>
    <w:p>
      <w:pPr>
        <w:spacing w:after="0"/>
      </w:pPr>
    </w:p>
    <w:p>
      <w:pPr>
        <w:pBdr>
          <w:top w:val="single" w:color="000000" w:sz="6" w:space="4"/>
          <w:bottom w:val="single" w:color="000000" w:sz="6" w:space="4"/>
          <w:left w:val="single" w:color="000000" w:sz="6" w:space="4"/>
          <w:right w:val="single" w:color="000000" w:sz="6" w:space="4"/>
        </w:pBdr>
        <w:shd w:fill="FFFFCC" w:val="clear"/>
        <w:spacing w:after="120" w:line="240" w:lineRule="auto"/>
      </w:pPr>
      <w:r>
        <w:rPr>
          <w:rFonts w:ascii="Avenir Next LT Pro Light" w:cs="Avenir Next LT Pro Light" w:eastAsia="Avenir Next LT Pro Light" w:hAnsi="Avenir Next LT Pro Light"/>
          <w:sz w:val="22"/>
          <w:szCs w:val="22"/>
        </w:rPr>
        <w:t xml:space="preserve">All training sessions use a current release of the application. If your organization is using an older version of the software, you will likely encounter some discrepancies between the features and functionality you learn and what is available in your system.</w:t>
      </w:r>
    </w:p>
    <w:sectPr>
      <w:pgSz w:w="12240" w:h="15840"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venir Next LT Pro Light" w:cs="Avenir Next LT Pro Light" w:eastAsia="Avenir Next LT Pro Light" w:hAnsi="Avenir Next LT Pro Light"/>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2026-05-08T16:45:10.174Z</dcterms:created>
  <dcterms:modified xsi:type="dcterms:W3CDTF">2026-05-08T16:45:10.174Z</dcterms:modified>
</cp:coreProperties>
</file>

<file path=docProps/custom.xml><?xml version="1.0" encoding="utf-8"?>
<Properties xmlns="http://schemas.openxmlformats.org/officeDocument/2006/custom-properties" xmlns:vt="http://schemas.openxmlformats.org/officeDocument/2006/docPropsVTypes"/>
</file>