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453347F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E579E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28CE940E" w14:textId="75EAF698" w:rsidR="00E7140D" w:rsidRPr="00E7140D" w:rsidRDefault="00E7140D" w:rsidP="00E7140D">
      <w:pPr>
        <w:spacing w:after="0"/>
        <w:rPr>
          <w:b/>
          <w:bCs/>
        </w:rPr>
      </w:pPr>
      <w:r w:rsidRPr="00E7140D">
        <w:rPr>
          <w:b/>
          <w:bCs/>
        </w:rPr>
        <w:t xml:space="preserve">Date: </w:t>
      </w:r>
      <w:r w:rsidRPr="00E7140D">
        <w:rPr>
          <w:b/>
          <w:bCs/>
          <w:highlight w:val="yellow"/>
        </w:rPr>
        <w:t>4/22/2026 at 3:30:00 PM America/Chicago</w:t>
      </w:r>
      <w:r w:rsidRPr="00E7140D">
        <w:rPr>
          <w:b/>
          <w:bCs/>
        </w:rPr>
        <w:t xml:space="preserve"> </w:t>
      </w:r>
    </w:p>
    <w:p w14:paraId="16800036" w14:textId="18129356" w:rsidR="00A43AAD" w:rsidRDefault="00E7140D" w:rsidP="00E7140D">
      <w:pPr>
        <w:spacing w:after="0"/>
        <w:rPr>
          <w:b/>
          <w:bCs/>
        </w:rPr>
      </w:pPr>
      <w:r w:rsidRPr="00E7140D">
        <w:rPr>
          <w:b/>
          <w:bCs/>
        </w:rPr>
        <w:t xml:space="preserve">Trainer(s): </w:t>
      </w:r>
      <w:r w:rsidRPr="00E7140D">
        <w:rPr>
          <w:b/>
          <w:bCs/>
          <w:highlight w:val="yellow"/>
        </w:rPr>
        <w:t>Ella Dunning, Kirsti Johanson</w:t>
      </w:r>
    </w:p>
    <w:p w14:paraId="59CE7F4C" w14:textId="77777777" w:rsidR="00E7140D" w:rsidRDefault="00E7140D" w:rsidP="00E7140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F176" w14:textId="77777777" w:rsidR="00627209" w:rsidRDefault="00627209" w:rsidP="000A3EE5">
      <w:pPr>
        <w:spacing w:after="0" w:line="240" w:lineRule="auto"/>
      </w:pPr>
      <w:r>
        <w:separator/>
      </w:r>
    </w:p>
  </w:endnote>
  <w:endnote w:type="continuationSeparator" w:id="0">
    <w:p w14:paraId="6D96C407" w14:textId="77777777" w:rsidR="00627209" w:rsidRDefault="00627209"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4F4B" w14:textId="77777777" w:rsidR="00627209" w:rsidRDefault="00627209" w:rsidP="000A3EE5">
      <w:pPr>
        <w:spacing w:after="0" w:line="240" w:lineRule="auto"/>
      </w:pPr>
      <w:r>
        <w:separator/>
      </w:r>
    </w:p>
  </w:footnote>
  <w:footnote w:type="continuationSeparator" w:id="0">
    <w:p w14:paraId="53E8CC39" w14:textId="77777777" w:rsidR="00627209" w:rsidRDefault="00627209"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C1188"/>
    <w:rsid w:val="001C29C1"/>
    <w:rsid w:val="002B1D3D"/>
    <w:rsid w:val="002B4836"/>
    <w:rsid w:val="0033550C"/>
    <w:rsid w:val="003A6078"/>
    <w:rsid w:val="003F7A27"/>
    <w:rsid w:val="00415E73"/>
    <w:rsid w:val="00444617"/>
    <w:rsid w:val="004E0892"/>
    <w:rsid w:val="005E18DA"/>
    <w:rsid w:val="00627209"/>
    <w:rsid w:val="00676F69"/>
    <w:rsid w:val="006853C7"/>
    <w:rsid w:val="00685CC3"/>
    <w:rsid w:val="006B5F1D"/>
    <w:rsid w:val="006F33FB"/>
    <w:rsid w:val="00731260"/>
    <w:rsid w:val="007534B2"/>
    <w:rsid w:val="00776A03"/>
    <w:rsid w:val="007C1110"/>
    <w:rsid w:val="007F0A7D"/>
    <w:rsid w:val="00877C1A"/>
    <w:rsid w:val="009512A9"/>
    <w:rsid w:val="009A7195"/>
    <w:rsid w:val="009E5068"/>
    <w:rsid w:val="00A36BFD"/>
    <w:rsid w:val="00A43AAD"/>
    <w:rsid w:val="00B4778C"/>
    <w:rsid w:val="00B54067"/>
    <w:rsid w:val="00BC515B"/>
    <w:rsid w:val="00C4768A"/>
    <w:rsid w:val="00C87026"/>
    <w:rsid w:val="00DF2A02"/>
    <w:rsid w:val="00E44C25"/>
    <w:rsid w:val="00E579EB"/>
    <w:rsid w:val="00E7140D"/>
    <w:rsid w:val="00E9019C"/>
    <w:rsid w:val="00F2235B"/>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4</cp:revision>
  <dcterms:created xsi:type="dcterms:W3CDTF">2026-05-08T16:07:00Z</dcterms:created>
  <dcterms:modified xsi:type="dcterms:W3CDTF">2026-05-08T16:09:00Z</dcterms:modified>
</cp:coreProperties>
</file>