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0EBF4E7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0F3189">
        <w:rPr>
          <w:rFonts w:ascii="Avenir Next LT Pro Light" w:hAnsi="Avenir Next LT Pro Light"/>
        </w:rPr>
        <w:t xml:space="preserve"> June 7, 2024</w:t>
      </w:r>
    </w:p>
    <w:permEnd w:id="1796027280"/>
    <w:p w14:paraId="78661A01" w14:textId="3DB5D96C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0F3189">
        <w:rPr>
          <w:rFonts w:ascii="Avenir Next LT Pro Light" w:hAnsi="Avenir Next LT Pro Light"/>
        </w:rPr>
        <w:t>Mark Henkelmann, Marc Milone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CC2EC60" w:rsidR="00E4079E" w:rsidRPr="00506FCE" w:rsidRDefault="002B2123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638F2FF2" w:rsidR="00951CBE" w:rsidRPr="00506FCE" w:rsidRDefault="002B2123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3A933516" w:rsidR="00C145A2" w:rsidRPr="00506FCE" w:rsidRDefault="002B2123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932CE1A" w:rsidR="00951CBE" w:rsidRPr="00506FCE" w:rsidRDefault="002B2123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318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B2123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857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2024-05-28T19:25:00Z</dcterms:created>
  <dcterms:modified xsi:type="dcterms:W3CDTF">2024-05-28T19:25:00Z</dcterms:modified>
</cp:coreProperties>
</file>