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459412A7"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170CEE">
        <w:rPr>
          <w:rFonts w:ascii="Avenir Next LT Pro Light" w:hAnsi="Avenir Next LT Pro Light"/>
        </w:rPr>
        <w:t>March 3, 2026</w:t>
      </w:r>
      <w:r w:rsidR="00BF4762" w:rsidRPr="005C3250">
        <w:rPr>
          <w:rFonts w:ascii="Avenir Next LT Pro Light" w:hAnsi="Avenir Next LT Pro Light"/>
        </w:rPr>
        <w:t xml:space="preserve"> </w:t>
      </w:r>
      <w:permEnd w:id="795702203"/>
    </w:p>
    <w:p w14:paraId="4E7A23D5" w14:textId="2D69635C"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170CEE" w:rsidRPr="00170CEE">
        <w:rPr>
          <w:rFonts w:ascii="Avenir Next LT Pro Light" w:hAnsi="Avenir Next LT Pro Light"/>
        </w:rPr>
        <w:t>Andrew Armstrong, Keenan Donze</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0CEE"/>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B7590"/>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2026-02-24T18:30:00Z</dcterms:created>
  <dcterms:modified xsi:type="dcterms:W3CDTF">2026-02-24T18:30:00Z</dcterms:modified>
</cp:coreProperties>
</file>