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61F965F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5B1F6A">
        <w:rPr>
          <w:rFonts w:ascii="Avenir Next LT Pro Light" w:hAnsi="Avenir Next LT Pro Light"/>
        </w:rPr>
        <w:t>March 2, 2026</w:t>
      </w:r>
    </w:p>
    <w:p w14:paraId="07263AE5" w14:textId="0DBA5BD2"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5B1F6A" w:rsidRPr="005B1F6A">
        <w:rPr>
          <w:rFonts w:ascii="Avenir Next LT Pro Light" w:hAnsi="Avenir Next LT Pro Light"/>
        </w:rPr>
        <w:t>Emily LaGesse, Charlie Hanneman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F62CBBA" w:rsidR="001B7E3F" w:rsidRPr="006117CC" w:rsidRDefault="007515F2"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BA07EE8" w:rsidR="001B7E3F" w:rsidRPr="006117CC" w:rsidRDefault="007515F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3BDDD651" w:rsidR="001B7E3F" w:rsidRPr="006117CC" w:rsidRDefault="007515F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7B3961B" w:rsidR="001B7E3F" w:rsidRPr="006117CC" w:rsidRDefault="007515F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1F6A"/>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A7668"/>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2026-02-24T18:45:00Z</dcterms:created>
  <dcterms:modified xsi:type="dcterms:W3CDTF">2026-02-24T18:45:00Z</dcterms:modified>
</cp:coreProperties>
</file>