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00AF2F85"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562BA8">
        <w:rPr>
          <w:rFonts w:ascii="Avenir Next LT Pro Light" w:hAnsi="Avenir Next LT Pro Light"/>
        </w:rPr>
        <w:t>December 19, 2025</w:t>
      </w:r>
    </w:p>
    <w:permEnd w:id="1923695559"/>
    <w:p w14:paraId="360507D3" w14:textId="7ABF699E"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562BA8" w:rsidRPr="00562BA8">
        <w:rPr>
          <w:rFonts w:ascii="Avenir Next LT Pro Light" w:hAnsi="Avenir Next LT Pro Light"/>
        </w:rPr>
        <w:t>Mark Henkelmann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28981CD3" w:rsidR="00265EE6" w:rsidRPr="000C726A" w:rsidRDefault="006B2E64" w:rsidP="00265EE6">
            <w:pPr>
              <w:pStyle w:val="ItemName"/>
              <w:rPr>
                <w:rFonts w:ascii="Avenir Next LT Pro Light" w:hAnsi="Avenir Next LT Pro Light"/>
              </w:rPr>
            </w:pPr>
            <w:permStart w:id="15994466" w:edGrp="everyone" w:colFirst="0" w:colLast="0"/>
            <w:r>
              <w:rPr>
                <w:rFonts w:ascii="Avenir Next LT Pro Light" w:hAnsi="Avenir Next LT Pro Light"/>
              </w:rPr>
              <w:t>4</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1EFE6353" w:rsidR="00265EE6" w:rsidRPr="000C726A" w:rsidRDefault="006B2E64"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4</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3478B40D" w:rsidR="00265EE6" w:rsidRPr="000C726A" w:rsidRDefault="006B2E64"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4</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D9C142D" w:rsidR="00265EE6" w:rsidRPr="000C726A" w:rsidRDefault="006B2E64"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4</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5D1B1140" w:rsidR="00265EE6" w:rsidRPr="000C726A" w:rsidRDefault="006B2E64"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4</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913"/>
    <w:rsid w:val="00525D99"/>
    <w:rsid w:val="00530A02"/>
    <w:rsid w:val="00552C36"/>
    <w:rsid w:val="00562BA8"/>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1C05"/>
    <w:rsid w:val="00663D08"/>
    <w:rsid w:val="00666E6E"/>
    <w:rsid w:val="00667709"/>
    <w:rsid w:val="00681873"/>
    <w:rsid w:val="00693A38"/>
    <w:rsid w:val="006A5230"/>
    <w:rsid w:val="006B22CB"/>
    <w:rsid w:val="006B2E64"/>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097C"/>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890</Characters>
  <Application>Microsoft Office Word</Application>
  <DocSecurity>2</DocSecurity>
  <Lines>42</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2025-12-09T21:53:00Z</dcterms:created>
  <dcterms:modified xsi:type="dcterms:W3CDTF">2025-12-09T21:53:00Z</dcterms:modified>
</cp:coreProperties>
</file>