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924AC8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65A0F">
        <w:rPr>
          <w:rFonts w:ascii="Avenir Next LT Pro Light" w:hAnsi="Avenir Next LT Pro Light"/>
        </w:rPr>
        <w:t>August 7, 2025</w:t>
      </w:r>
    </w:p>
    <w:p w14:paraId="07263AE5" w14:textId="5BA7673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65A0F" w:rsidRPr="00E65A0F">
        <w:rPr>
          <w:rFonts w:ascii="Avenir Next LT Pro Light" w:hAnsi="Avenir Next LT Pro Light"/>
        </w:rPr>
        <w:t>Emily Elmore, Tim Thompson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568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5A0F"/>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2025-07-29T15:10:00Z</dcterms:created>
  <dcterms:modified xsi:type="dcterms:W3CDTF">2025-07-29T15:10:00Z</dcterms:modified>
</cp:coreProperties>
</file>