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744F41F8"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3567E6">
        <w:rPr>
          <w:rFonts w:ascii="Avenir Next LT Pro Light" w:hAnsi="Avenir Next LT Pro Light"/>
        </w:rPr>
        <w:t>July 19, 2025</w:t>
      </w:r>
    </w:p>
    <w:p w14:paraId="0488A9FB" w14:textId="5132A442"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3567E6" w:rsidRPr="003567E6">
        <w:rPr>
          <w:rFonts w:ascii="Avenir Next LT Pro Light" w:hAnsi="Avenir Next LT Pro Light"/>
        </w:rPr>
        <w:t>Allie Hein, Shea Cunha</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41341346"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3567E6">
            <w:rPr>
              <w:rFonts w:ascii="Arial" w:hAnsi="Arial" w:cs="Arial"/>
              <w:noProof/>
              <w:sz w:val="8"/>
            </w:rPr>
            <w:t>1/29/2025 1:38:00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567E6"/>
    <w:rsid w:val="00396CF4"/>
    <w:rsid w:val="003A3709"/>
    <w:rsid w:val="003A5289"/>
    <w:rsid w:val="004117A7"/>
    <w:rsid w:val="004455D2"/>
    <w:rsid w:val="00471CAA"/>
    <w:rsid w:val="00472727"/>
    <w:rsid w:val="004C093E"/>
    <w:rsid w:val="004E2F82"/>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84F0A"/>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2025-07-08T17:26:00Z</dcterms:created>
  <dcterms:modified xsi:type="dcterms:W3CDTF">2025-07-08T17:26:00Z</dcterms:modified>
</cp:coreProperties>
</file>