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AFBA728"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0E69DF">
        <w:rPr>
          <w:rFonts w:ascii="Avenir Next LT Pro Light" w:hAnsi="Avenir Next LT Pro Light"/>
        </w:rPr>
        <w:t>July 1, 2025</w:t>
      </w:r>
    </w:p>
    <w:p w14:paraId="142D61A8" w14:textId="022F9698"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0E69DF" w:rsidRPr="000E69DF">
        <w:rPr>
          <w:rFonts w:ascii="Avenir Next LT Pro Light" w:hAnsi="Avenir Next LT Pro Light"/>
        </w:rPr>
        <w:t>Allie Hein, Gabrielle Kelson</w:t>
      </w:r>
      <w:r w:rsidR="000E69DF">
        <w:rPr>
          <w:rFonts w:ascii="Avenir Next LT Pro Light" w:hAnsi="Avenir Next LT Pro Light"/>
        </w:rPr>
        <w:t xml:space="preserve">, </w:t>
      </w:r>
      <w:r w:rsidR="000E69DF" w:rsidRPr="000E69DF">
        <w:rPr>
          <w:rFonts w:ascii="Avenir Next LT Pro Light" w:hAnsi="Avenir Next LT Pro Light"/>
        </w:rPr>
        <w:t>Kelly Van Blarcom</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E69DF"/>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42A56"/>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6A70"/>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2025-06-24T13:38:00Z</dcterms:created>
  <dcterms:modified xsi:type="dcterms:W3CDTF">2025-06-24T13:38:00Z</dcterms:modified>
</cp:coreProperties>
</file>