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90C2152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04FEC">
        <w:rPr>
          <w:rFonts w:ascii="Avenir Next LT Pro Light" w:hAnsi="Avenir Next LT Pro Light"/>
        </w:rPr>
        <w:t>March 15, 2024</w:t>
      </w:r>
    </w:p>
    <w:permEnd w:id="1796027280"/>
    <w:p w14:paraId="78661A01" w14:textId="6E98E3BF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404FEC">
        <w:rPr>
          <w:rFonts w:ascii="Avenir Next LT Pro Light" w:hAnsi="Avenir Next LT Pro Light"/>
        </w:rPr>
        <w:t>Cj</w:t>
      </w:r>
      <w:proofErr w:type="spellEnd"/>
      <w:r w:rsidR="00404FEC">
        <w:rPr>
          <w:rFonts w:ascii="Avenir Next LT Pro Light" w:hAnsi="Avenir Next LT Pro Light"/>
        </w:rPr>
        <w:t xml:space="preserve"> Moninger, Rhett Blankenship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04FE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860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2024-03-05T14:51:00Z</dcterms:created>
  <dcterms:modified xsi:type="dcterms:W3CDTF">2024-03-05T14:51:00Z</dcterms:modified>
</cp:coreProperties>
</file>