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7DC34E80"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F341F3">
        <w:rPr>
          <w:rFonts w:ascii="Avenir Next LT Pro Light" w:hAnsi="Avenir Next LT Pro Light"/>
        </w:rPr>
        <w:t>September 29, 2023</w:t>
      </w:r>
      <w:r w:rsidR="00BF4762" w:rsidRPr="00021167">
        <w:rPr>
          <w:rFonts w:ascii="Avenir Next LT Pro Light" w:hAnsi="Avenir Next LT Pro Light"/>
        </w:rPr>
        <w:t xml:space="preserve"> </w:t>
      </w:r>
    </w:p>
    <w:permEnd w:id="1248024379"/>
    <w:p w14:paraId="4E7A23D5" w14:textId="52C76BF0"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F341F3">
        <w:rPr>
          <w:rFonts w:ascii="Avenir Next LT Pro Light" w:hAnsi="Avenir Next LT Pro Light"/>
        </w:rPr>
        <w:t>Lon Ebel, Andrew Armstrong</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8982488" w:rsidR="006A1DED" w:rsidRDefault="00A93324">
            <w:pPr>
              <w:pStyle w:val="ItemName"/>
              <w:rPr>
                <w:rFonts w:ascii="Avenir Next LT Pro Light" w:hAnsi="Avenir Next LT Pro Light"/>
                <w:highlight w:val="yellow"/>
              </w:rPr>
            </w:pPr>
            <w:permStart w:id="186718289" w:edGrp="everyone" w:colFirst="0" w:colLast="0"/>
            <w:r>
              <w:rPr>
                <w:rFonts w:ascii="Avenir Next LT Pro Light" w:hAnsi="Avenir Next LT Pro Light"/>
              </w:rPr>
              <w:t>3</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47C13E48" w:rsidR="006A1DED" w:rsidRDefault="00A93324">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3</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99A6060" w:rsidR="006A1DED" w:rsidRDefault="00A93324">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3</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537499DB" w:rsidR="006A1DED" w:rsidRDefault="00A93324">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324"/>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41F3"/>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765</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2023-09-20T14:37:00Z</dcterms:created>
  <dcterms:modified xsi:type="dcterms:W3CDTF">2023-09-20T14:37:00Z</dcterms:modified>
</cp:coreProperties>
</file>